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0FD7" w:rsidRDefault="00A20FD7">
      <w:pPr>
        <w:widowControl w:val="0"/>
        <w:autoSpaceDE w:val="0"/>
        <w:autoSpaceDN w:val="0"/>
        <w:adjustRightInd w:val="0"/>
        <w:jc w:val="center"/>
        <w:rPr>
          <w:caps/>
          <w:color w:val="000000"/>
          <w:sz w:val="24"/>
          <w:szCs w:val="24"/>
        </w:rPr>
      </w:pPr>
      <w:r>
        <w:rPr>
          <w:caps/>
          <w:color w:val="000000"/>
          <w:sz w:val="24"/>
          <w:szCs w:val="24"/>
        </w:rPr>
        <w:t>ПОСТАНОВЛЕНИЕ  ПЛЕНУМА ВЕРХОВНОГО СУДА РЕСПУБЛИКИ БЕЛАРУСЬ</w:t>
      </w:r>
    </w:p>
    <w:p w:rsidR="00A20FD7" w:rsidRDefault="00A20FD7">
      <w:pPr>
        <w:widowControl w:val="0"/>
        <w:autoSpaceDE w:val="0"/>
        <w:autoSpaceDN w:val="0"/>
        <w:adjustRightInd w:val="0"/>
        <w:jc w:val="center"/>
        <w:rPr>
          <w:color w:val="000000"/>
          <w:sz w:val="24"/>
          <w:szCs w:val="24"/>
        </w:rPr>
      </w:pPr>
      <w:r>
        <w:rPr>
          <w:color w:val="000000"/>
          <w:sz w:val="24"/>
          <w:szCs w:val="24"/>
        </w:rPr>
        <w:t>16 декабря 2004 г. № 13</w:t>
      </w:r>
    </w:p>
    <w:p w:rsidR="00A20FD7" w:rsidRDefault="00A20FD7">
      <w:pPr>
        <w:widowControl w:val="0"/>
        <w:autoSpaceDE w:val="0"/>
        <w:autoSpaceDN w:val="0"/>
        <w:adjustRightInd w:val="0"/>
        <w:spacing w:before="240" w:after="240"/>
        <w:jc w:val="center"/>
        <w:rPr>
          <w:b/>
          <w:color w:val="000000"/>
          <w:sz w:val="24"/>
          <w:szCs w:val="24"/>
          <w:lang/>
        </w:rPr>
      </w:pPr>
      <w:r>
        <w:rPr>
          <w:b/>
          <w:color w:val="000000"/>
          <w:sz w:val="24"/>
          <w:szCs w:val="24"/>
          <w:lang/>
        </w:rPr>
        <w:t>О практике рассмотрения судами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w:t>
      </w:r>
    </w:p>
    <w:p w:rsidR="00A20FD7" w:rsidRDefault="00A20FD7">
      <w:pPr>
        <w:widowControl w:val="0"/>
        <w:autoSpaceDE w:val="0"/>
        <w:autoSpaceDN w:val="0"/>
        <w:adjustRightInd w:val="0"/>
        <w:ind w:firstLine="570"/>
        <w:rPr>
          <w:color w:val="000000"/>
          <w:sz w:val="24"/>
          <w:szCs w:val="24"/>
        </w:rPr>
      </w:pPr>
      <w:r>
        <w:rPr>
          <w:color w:val="000000"/>
          <w:sz w:val="24"/>
          <w:szCs w:val="24"/>
        </w:rPr>
        <w:t>Обсудив результаты изучения практики рассмотрения судами дел о признании гражданина ограниченно дееспособным или недееспособным, а также о признании гражданина дееспособным либо об отмене ограничения дееспособности, в целях единообразного и правильного применения судами законодательства Пленум Верховного Суда Республики Беларусь ПОСТАНОВЛЯЕТ:</w:t>
      </w:r>
    </w:p>
    <w:p w:rsidR="00A20FD7" w:rsidRDefault="00A20FD7">
      <w:pPr>
        <w:widowControl w:val="0"/>
        <w:autoSpaceDE w:val="0"/>
        <w:autoSpaceDN w:val="0"/>
        <w:adjustRightInd w:val="0"/>
        <w:ind w:firstLine="570"/>
        <w:rPr>
          <w:color w:val="000000"/>
          <w:sz w:val="24"/>
          <w:szCs w:val="24"/>
        </w:rPr>
      </w:pPr>
      <w:bookmarkStart w:id="0" w:name="CA0|П~1~1CN~|point=0"/>
      <w:bookmarkEnd w:id="0"/>
      <w:r>
        <w:rPr>
          <w:color w:val="000000"/>
          <w:sz w:val="24"/>
          <w:szCs w:val="24"/>
        </w:rPr>
        <w:t xml:space="preserve">1. Обратить внимание судов, что соблюдение законности при рассмотрении дел о признании гражданина ограниченно дееспособным или недееспособным, а также дел об отмене ограничения дееспособности либо о признании гражданина дееспособным является важной гарантией судебной защиты гражданских прав. Поэтому по делам данной категории надлежит всесторонне, полно и объективно выяснять наличие обстоятельств, послуживших основанием для заявления таких требований, и обеспечивать их рассмотрение в строгом соответствии с положениями </w:t>
      </w:r>
      <w:hyperlink r:id="rId6" w:history="1">
        <w:r>
          <w:rPr>
            <w:color w:val="0000FF"/>
            <w:sz w:val="24"/>
            <w:szCs w:val="24"/>
          </w:rPr>
          <w:t>главы 30</w:t>
        </w:r>
      </w:hyperlink>
      <w:r>
        <w:rPr>
          <w:color w:val="000000"/>
          <w:sz w:val="24"/>
          <w:szCs w:val="24"/>
        </w:rPr>
        <w:t xml:space="preserve"> ГПК (</w:t>
      </w:r>
      <w:hyperlink r:id="rId7" w:history="1">
        <w:r>
          <w:rPr>
            <w:color w:val="0000FF"/>
            <w:sz w:val="24"/>
            <w:szCs w:val="24"/>
          </w:rPr>
          <w:t>ст.ст. 362</w:t>
        </w:r>
      </w:hyperlink>
      <w:r>
        <w:rPr>
          <w:color w:val="000000"/>
          <w:sz w:val="24"/>
          <w:szCs w:val="24"/>
        </w:rPr>
        <w:t xml:space="preserve">, </w:t>
      </w:r>
      <w:hyperlink r:id="rId8" w:history="1">
        <w:r>
          <w:rPr>
            <w:color w:val="0000FF"/>
            <w:sz w:val="24"/>
            <w:szCs w:val="24"/>
          </w:rPr>
          <w:t>373–376</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bookmarkStart w:id="1" w:name="CA0|П~2~2CN~|point=0"/>
      <w:bookmarkEnd w:id="1"/>
      <w:r>
        <w:rPr>
          <w:color w:val="000000"/>
          <w:sz w:val="24"/>
          <w:szCs w:val="24"/>
        </w:rPr>
        <w:t xml:space="preserve">2. Судам нужно иметь в виду, что в соответствии с ч. 1 </w:t>
      </w:r>
      <w:hyperlink r:id="rId9" w:history="1">
        <w:r>
          <w:rPr>
            <w:color w:val="0000FF"/>
            <w:sz w:val="24"/>
            <w:szCs w:val="24"/>
          </w:rPr>
          <w:t>ст. 30</w:t>
        </w:r>
      </w:hyperlink>
      <w:r>
        <w:rPr>
          <w:color w:val="000000"/>
          <w:sz w:val="24"/>
          <w:szCs w:val="24"/>
        </w:rPr>
        <w:t xml:space="preserve"> ГК для ограничения дееспособности гражданина необходимы два находящиеся в причинной связи условия: 1) злоупотребление им спиртными напитками, наркотическими средствами либо психотропными веществами; 2) поставление своей семьи в тяжелое материальное положение. Наличие заработка и иных доходов у других членов семьи само по себе не может являться основанием для отказа в удовлетворении заявленных требований.</w:t>
      </w:r>
    </w:p>
    <w:p w:rsidR="00A20FD7" w:rsidRDefault="00A20FD7">
      <w:pPr>
        <w:widowControl w:val="0"/>
        <w:autoSpaceDE w:val="0"/>
        <w:autoSpaceDN w:val="0"/>
        <w:adjustRightInd w:val="0"/>
        <w:ind w:firstLine="570"/>
        <w:rPr>
          <w:color w:val="000000"/>
          <w:sz w:val="24"/>
          <w:szCs w:val="24"/>
        </w:rPr>
      </w:pPr>
      <w:bookmarkStart w:id="2" w:name="CA0|П~3~3CN~|point=0"/>
      <w:bookmarkEnd w:id="2"/>
      <w:r>
        <w:rPr>
          <w:color w:val="000000"/>
          <w:sz w:val="24"/>
          <w:szCs w:val="24"/>
        </w:rPr>
        <w:t>3. Факт злоупотребления гражданином спиртными напитками, наркотическими средствами либо психотропными веществами должен быть подтвержден в суде соответствующими доказательствами, к которым относятся: справки о помещении в медвытрезвитель либо об оказании медицинской помощи в связи с состоянием, связанным со злоупотреблением спиртными напитками, наркотическими средствами либо психотропными веществами, акты освидетельствования на предмет установления зависимости от алкоголя, наркотических средств или психотропных веществ, акты судебно-наркологической или судебно-психиатрической экспертизы, документы правоохранительных органов о допущенных нарушениях общественного порядка, создании конфликтных ситуаций в семье, иные доказательства, подтверждающие зависимость лица от алкоголя, наркотических средств либо психотропных веществ.</w:t>
      </w:r>
    </w:p>
    <w:p w:rsidR="00A20FD7" w:rsidRDefault="00A20FD7">
      <w:pPr>
        <w:widowControl w:val="0"/>
        <w:autoSpaceDE w:val="0"/>
        <w:autoSpaceDN w:val="0"/>
        <w:adjustRightInd w:val="0"/>
        <w:ind w:firstLine="570"/>
        <w:rPr>
          <w:color w:val="000000"/>
          <w:sz w:val="24"/>
          <w:szCs w:val="24"/>
        </w:rPr>
      </w:pPr>
      <w:r>
        <w:rPr>
          <w:color w:val="000000"/>
          <w:sz w:val="24"/>
          <w:szCs w:val="24"/>
        </w:rPr>
        <w:t>Для признания ограниченно дееспособным не требуется, чтобы гражданин являлся хроническим алкоголиком или наркоманом.</w:t>
      </w:r>
    </w:p>
    <w:p w:rsidR="00A20FD7" w:rsidRDefault="00A20FD7">
      <w:pPr>
        <w:widowControl w:val="0"/>
        <w:autoSpaceDE w:val="0"/>
        <w:autoSpaceDN w:val="0"/>
        <w:adjustRightInd w:val="0"/>
        <w:ind w:firstLine="570"/>
        <w:rPr>
          <w:color w:val="000000"/>
          <w:sz w:val="24"/>
          <w:szCs w:val="24"/>
        </w:rPr>
      </w:pPr>
      <w:bookmarkStart w:id="3" w:name="CA0|П~4~4CN~|point=0"/>
      <w:bookmarkEnd w:id="3"/>
      <w:r>
        <w:rPr>
          <w:color w:val="000000"/>
          <w:sz w:val="24"/>
          <w:szCs w:val="24"/>
        </w:rPr>
        <w:t>4. При выяснении вопроса о том, ставится ли семья в тяжелое материальное положение, суду необходимо обращать внимание на степень участия лица, в отношении которого ставится вопрос об ограничении в дееспособности, в содержании членов семьи, нуждающихся в помощи, в несении расходов по обеспечению соответствующих бытовых условий, в оплате коммунальных услуг, а также затрат на ведение домашнего хозяйства, содержание дома (квартиры) в надлежащем санитарном состоянии и т.п. Кроме того, суд учитывает затраты семьи на содержание злоупотребляющего спиртными напитками, наркотическими средствами либо психотропными веществами.</w:t>
      </w:r>
    </w:p>
    <w:p w:rsidR="00A20FD7" w:rsidRDefault="00A20FD7">
      <w:pPr>
        <w:widowControl w:val="0"/>
        <w:autoSpaceDE w:val="0"/>
        <w:autoSpaceDN w:val="0"/>
        <w:adjustRightInd w:val="0"/>
        <w:ind w:firstLine="570"/>
        <w:rPr>
          <w:color w:val="000000"/>
          <w:sz w:val="24"/>
          <w:szCs w:val="24"/>
        </w:rPr>
      </w:pPr>
      <w:r>
        <w:rPr>
          <w:color w:val="000000"/>
          <w:sz w:val="24"/>
          <w:szCs w:val="24"/>
        </w:rPr>
        <w:t>Если суд установит, что гражданин не принимает участия в расходах по содержанию семьи не вследствие злоупотребления спиртными напитками, наркотическими средствами либо психотропными веществами, а в связи с отсутствием постоянного заработка или дохода по объективным причинам (по болезни, невозможности трудоустройства и т.д.), то он не может быть ограничен в дееспособности.</w:t>
      </w:r>
    </w:p>
    <w:p w:rsidR="00A20FD7" w:rsidRDefault="00A20FD7">
      <w:pPr>
        <w:widowControl w:val="0"/>
        <w:autoSpaceDE w:val="0"/>
        <w:autoSpaceDN w:val="0"/>
        <w:adjustRightInd w:val="0"/>
        <w:ind w:firstLine="570"/>
        <w:rPr>
          <w:color w:val="000000"/>
          <w:sz w:val="24"/>
          <w:szCs w:val="24"/>
        </w:rPr>
      </w:pPr>
      <w:bookmarkStart w:id="4" w:name="CA0|П~5~5CN~|point=0"/>
      <w:bookmarkEnd w:id="4"/>
      <w:r>
        <w:rPr>
          <w:color w:val="000000"/>
          <w:sz w:val="24"/>
          <w:szCs w:val="24"/>
        </w:rPr>
        <w:t xml:space="preserve">5. Судам следует иметь в виду, что ограничение в дееспособности является основанием </w:t>
      </w:r>
      <w:r>
        <w:rPr>
          <w:color w:val="000000"/>
          <w:sz w:val="24"/>
          <w:szCs w:val="24"/>
        </w:rPr>
        <w:lastRenderedPageBreak/>
        <w:t>для установления над гражданином попечительства. В силу ограничения в дееспособности гражданин без согласия попечителя не в праве, в частности, продавать, дарить, обменивать, покупать имущество, совершать другие сделки по распоряжению имуществом, за исключением мелких бытовых, а также сам получать заработную плату, пенсию и другие виды доходов (авторский гонорар, вознаграждение за изобретения, суммы, причитающиеся за выполнение работ по договору подряда, всякого рода пособия и т.п.).</w:t>
      </w:r>
    </w:p>
    <w:p w:rsidR="00A20FD7" w:rsidRDefault="00A20FD7">
      <w:pPr>
        <w:widowControl w:val="0"/>
        <w:autoSpaceDE w:val="0"/>
        <w:autoSpaceDN w:val="0"/>
        <w:adjustRightInd w:val="0"/>
        <w:ind w:firstLine="570"/>
        <w:rPr>
          <w:color w:val="000000"/>
          <w:sz w:val="24"/>
          <w:szCs w:val="24"/>
        </w:rPr>
      </w:pPr>
      <w:r>
        <w:rPr>
          <w:color w:val="000000"/>
          <w:sz w:val="24"/>
          <w:szCs w:val="24"/>
        </w:rPr>
        <w:t>Ограничение в дееспособности не освобождает гражданина от обязанности самостоятельно нести имущественную ответственность по совершенным им сделкам и за причиненный им вред.</w:t>
      </w:r>
    </w:p>
    <w:p w:rsidR="00A20FD7" w:rsidRDefault="00A20FD7">
      <w:pPr>
        <w:widowControl w:val="0"/>
        <w:autoSpaceDE w:val="0"/>
        <w:autoSpaceDN w:val="0"/>
        <w:adjustRightInd w:val="0"/>
        <w:ind w:firstLine="570"/>
        <w:rPr>
          <w:color w:val="000000"/>
          <w:sz w:val="24"/>
          <w:szCs w:val="24"/>
        </w:rPr>
      </w:pPr>
      <w:bookmarkStart w:id="5" w:name="CA0|П~6~6CN~|point=0"/>
      <w:bookmarkEnd w:id="5"/>
      <w:r>
        <w:rPr>
          <w:color w:val="000000"/>
          <w:sz w:val="24"/>
          <w:szCs w:val="24"/>
        </w:rPr>
        <w:t>6. Обратить внимание судов, что основанием для признания гражданина недееспособным (</w:t>
      </w:r>
      <w:hyperlink r:id="rId10" w:history="1">
        <w:r>
          <w:rPr>
            <w:color w:val="0000FF"/>
            <w:sz w:val="24"/>
            <w:szCs w:val="24"/>
          </w:rPr>
          <w:t>ст. 29</w:t>
        </w:r>
      </w:hyperlink>
      <w:r>
        <w:rPr>
          <w:color w:val="000000"/>
          <w:sz w:val="24"/>
          <w:szCs w:val="24"/>
        </w:rPr>
        <w:t xml:space="preserve"> ГК) является наличие у него психического расстройства (душевной болезни или слабоумия), в силу которого он не может понимать значение своих действий или руководить ими. Гражданин, страдающий психическим расстройством, которое не лишает его способности понимать значение своих действий или руководить ими, не может быть признан недееспособным.</w:t>
      </w:r>
    </w:p>
    <w:p w:rsidR="00A20FD7" w:rsidRDefault="00A20FD7">
      <w:pPr>
        <w:widowControl w:val="0"/>
        <w:autoSpaceDE w:val="0"/>
        <w:autoSpaceDN w:val="0"/>
        <w:adjustRightInd w:val="0"/>
        <w:ind w:firstLine="570"/>
        <w:rPr>
          <w:color w:val="000000"/>
          <w:sz w:val="24"/>
          <w:szCs w:val="24"/>
        </w:rPr>
      </w:pPr>
      <w:bookmarkStart w:id="6" w:name="CA0|П~7~7CN~|point=0"/>
      <w:bookmarkEnd w:id="6"/>
      <w:r>
        <w:rPr>
          <w:color w:val="000000"/>
          <w:sz w:val="24"/>
          <w:szCs w:val="24"/>
        </w:rPr>
        <w:t xml:space="preserve">7. Разъяснить судам, что заявление о признании гражданина ограниченно дееспособным вследствие злоупотребления спиртными напитками, наркотическими средствами либо психотропными веществами может быть подано в суд членами его семьи, прокурором, органом опеки и попечительства, а также общественным объединением, уставом которого предоставлено такое право (ч. 1 </w:t>
      </w:r>
      <w:hyperlink r:id="rId11" w:history="1">
        <w:r>
          <w:rPr>
            <w:color w:val="0000FF"/>
            <w:sz w:val="24"/>
            <w:szCs w:val="24"/>
          </w:rPr>
          <w:t>ст. 373</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r>
        <w:rPr>
          <w:color w:val="000000"/>
          <w:sz w:val="24"/>
          <w:szCs w:val="24"/>
        </w:rPr>
        <w:t>К членам семьи относятся: супруг (супруга), дети и родители, усыновители, усыновленные, родные братья и сестры, дед, бабка, внуки, а также другие родственники, нетрудоспособные иждивенцы и иные лица, которые проживают совместно с гражданином, в отношении которого ставится вопрос об ограничении дееспособности, и ведут с ним общее хозяйство (</w:t>
      </w:r>
      <w:hyperlink r:id="rId12" w:history="1">
        <w:r>
          <w:rPr>
            <w:color w:val="0000FF"/>
            <w:sz w:val="24"/>
            <w:szCs w:val="24"/>
          </w:rPr>
          <w:t>п. 9</w:t>
        </w:r>
      </w:hyperlink>
      <w:r>
        <w:rPr>
          <w:color w:val="000000"/>
          <w:sz w:val="24"/>
          <w:szCs w:val="24"/>
        </w:rPr>
        <w:t xml:space="preserve"> ч. 1 ст. 1 ГПК). Раздельное проживание и отсутствие общего хозяйства является основанием к отказу этим членам семьи в удовлетворении требований.</w:t>
      </w:r>
    </w:p>
    <w:p w:rsidR="00A20FD7" w:rsidRDefault="00A20FD7">
      <w:pPr>
        <w:widowControl w:val="0"/>
        <w:autoSpaceDE w:val="0"/>
        <w:autoSpaceDN w:val="0"/>
        <w:adjustRightInd w:val="0"/>
        <w:ind w:firstLine="570"/>
        <w:rPr>
          <w:color w:val="000000"/>
          <w:sz w:val="24"/>
          <w:szCs w:val="24"/>
        </w:rPr>
      </w:pPr>
      <w:r>
        <w:rPr>
          <w:color w:val="000000"/>
          <w:sz w:val="24"/>
          <w:szCs w:val="24"/>
        </w:rPr>
        <w:t>Прокурор или орган опеки и попечительства вправе обратиться в суд с заявлением об ограничении гражданина в дееспособности, если этого требуют интересы несовершеннолетних детей или иных лиц, проживающих совместно с таким гражданином.</w:t>
      </w:r>
    </w:p>
    <w:p w:rsidR="00A20FD7" w:rsidRDefault="00A20FD7">
      <w:pPr>
        <w:widowControl w:val="0"/>
        <w:autoSpaceDE w:val="0"/>
        <w:autoSpaceDN w:val="0"/>
        <w:adjustRightInd w:val="0"/>
        <w:ind w:firstLine="570"/>
        <w:rPr>
          <w:color w:val="000000"/>
          <w:sz w:val="24"/>
          <w:szCs w:val="24"/>
        </w:rPr>
      </w:pPr>
      <w:bookmarkStart w:id="7" w:name="CA0|П~8~8CN~|point=0"/>
      <w:bookmarkEnd w:id="7"/>
      <w:r>
        <w:rPr>
          <w:color w:val="000000"/>
          <w:sz w:val="24"/>
          <w:szCs w:val="24"/>
        </w:rPr>
        <w:t xml:space="preserve">8. Заявление о признании гражданина недееспособным вследствие душевной болезни или слабоумия может быть подано в суд членами его семьи, а в случае их отсутствия – близкими родственниками независимо от того, проживают ли они совместно с таким гражданином или нет, а также прокурором, органом опеки и попечительства в лице управлений (отделов) здравоохранения местных исполнительных и распорядительных органов, а при их отсутствии в структуре соответствующих исполнительных и распорядительных органов – в лице учреждений, на которые такие функции возложены, а также психиатрическим лечебным учреждением (ч. 2 </w:t>
      </w:r>
      <w:hyperlink r:id="rId13" w:history="1">
        <w:r>
          <w:rPr>
            <w:color w:val="0000FF"/>
            <w:sz w:val="24"/>
            <w:szCs w:val="24"/>
          </w:rPr>
          <w:t>ст. 373</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Такое право предоставлено в равной мере всем указанным в ч. 2 </w:t>
      </w:r>
      <w:hyperlink r:id="rId14" w:history="1">
        <w:r>
          <w:rPr>
            <w:color w:val="0000FF"/>
            <w:sz w:val="24"/>
            <w:szCs w:val="24"/>
          </w:rPr>
          <w:t>ст. 373</w:t>
        </w:r>
      </w:hyperlink>
      <w:r>
        <w:rPr>
          <w:color w:val="000000"/>
          <w:sz w:val="24"/>
          <w:szCs w:val="24"/>
        </w:rPr>
        <w:t xml:space="preserve"> ГПК лицам, за исключением близких родственников, которые могут обратиться в суд с заявлением о признании гражданина недееспособным только при отсутствии членов семьи у этого гражданина.</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Круг лиц, обладающих правом на предъявление требований о признании гражданина недееспособным, является исчерпывающим. При обращении с заявлением лиц, не указанных в ч. 2 </w:t>
      </w:r>
      <w:hyperlink r:id="rId15" w:history="1">
        <w:r>
          <w:rPr>
            <w:color w:val="0000FF"/>
            <w:sz w:val="24"/>
            <w:szCs w:val="24"/>
          </w:rPr>
          <w:t>ст. 373</w:t>
        </w:r>
      </w:hyperlink>
      <w:r>
        <w:rPr>
          <w:color w:val="000000"/>
          <w:sz w:val="24"/>
          <w:szCs w:val="24"/>
        </w:rPr>
        <w:t xml:space="preserve"> ГПК, судья отказывает в возбуждении дела, а в случае обнаружения данного обстоятельства в ходе судебного разбирательства прекращает производство по делу (ч. 3 </w:t>
      </w:r>
      <w:hyperlink r:id="rId16" w:history="1">
        <w:r>
          <w:rPr>
            <w:color w:val="0000FF"/>
            <w:sz w:val="24"/>
            <w:szCs w:val="24"/>
          </w:rPr>
          <w:t>ст. 362</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bookmarkStart w:id="8" w:name="CA0|П~9~9CN~|point=0"/>
      <w:bookmarkEnd w:id="8"/>
      <w:r>
        <w:rPr>
          <w:color w:val="000000"/>
          <w:sz w:val="24"/>
          <w:szCs w:val="24"/>
        </w:rPr>
        <w:t>9. Заявление о признании гражданина ограниченно дееспособным, помимо предъявляемых к нему общих требований (</w:t>
      </w:r>
      <w:hyperlink r:id="rId17" w:history="1">
        <w:r>
          <w:rPr>
            <w:color w:val="0000FF"/>
            <w:sz w:val="24"/>
            <w:szCs w:val="24"/>
          </w:rPr>
          <w:t>ст. 109</w:t>
        </w:r>
      </w:hyperlink>
      <w:r>
        <w:rPr>
          <w:color w:val="000000"/>
          <w:sz w:val="24"/>
          <w:szCs w:val="24"/>
        </w:rPr>
        <w:t xml:space="preserve"> ГПК), должно содержать указание на обстоятельства, свидетельствующие, что лицо, злоупотребляющее спиртными напитками, наркотическими средствами либо психотропными веществами, ставит свою семью в тяжелое материальное положение, а о признании гражданина недееспособным – указание на обстоятельства, свидетельствующие об умственном расстройстве, вследствие которого лицо </w:t>
      </w:r>
      <w:r>
        <w:rPr>
          <w:color w:val="000000"/>
          <w:sz w:val="24"/>
          <w:szCs w:val="24"/>
        </w:rPr>
        <w:lastRenderedPageBreak/>
        <w:t>не может понимать значение своих действий или руководить ими (</w:t>
      </w:r>
      <w:hyperlink r:id="rId18" w:history="1">
        <w:r>
          <w:rPr>
            <w:color w:val="0000FF"/>
            <w:sz w:val="24"/>
            <w:szCs w:val="24"/>
          </w:rPr>
          <w:t>ст. 373</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При отсутствии в заявлении таких сведений судья в порядке </w:t>
      </w:r>
      <w:hyperlink r:id="rId19" w:history="1">
        <w:r>
          <w:rPr>
            <w:color w:val="0000FF"/>
            <w:sz w:val="24"/>
            <w:szCs w:val="24"/>
          </w:rPr>
          <w:t>ст. 111</w:t>
        </w:r>
      </w:hyperlink>
      <w:r>
        <w:rPr>
          <w:color w:val="000000"/>
          <w:sz w:val="24"/>
          <w:szCs w:val="24"/>
        </w:rPr>
        <w:t xml:space="preserve"> ГПК выносит мотивированное определение об оставлении заявления без движения и предоставляет заявителю срок для исправления недостатков.</w:t>
      </w:r>
    </w:p>
    <w:p w:rsidR="00A20FD7" w:rsidRDefault="00A20FD7">
      <w:pPr>
        <w:widowControl w:val="0"/>
        <w:autoSpaceDE w:val="0"/>
        <w:autoSpaceDN w:val="0"/>
        <w:adjustRightInd w:val="0"/>
        <w:ind w:firstLine="570"/>
        <w:rPr>
          <w:color w:val="000000"/>
          <w:sz w:val="24"/>
          <w:szCs w:val="24"/>
        </w:rPr>
      </w:pPr>
      <w:bookmarkStart w:id="9" w:name="CA0|П~10~10CN~|point=0"/>
      <w:bookmarkEnd w:id="9"/>
      <w:r>
        <w:rPr>
          <w:color w:val="000000"/>
          <w:sz w:val="24"/>
          <w:szCs w:val="24"/>
        </w:rPr>
        <w:t>10. Обратить внимание судов, что психическое состояние гражданина определяется судебно-психиатрической экспертизой, поэтому ее назначение по делам о признании гражданина недееспособным является обязательным при наличии достаточных данных о душевной болезни или слабоумии гражданина. Такими данными являются, в частности, сведения, содержащиеся в выписке из истории болезни; справке о состоянии на учете и лечении в психиатрических лечебных учреждениях; свидетельстве об инвалидности в связи с психическим заболеванием и т.п.</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Вопрос о назначении судебно-психиатрической экспертизы судья решает в порядке подготовки дела к судебному разбирательству с соблюдением правил, установленных § 5 </w:t>
      </w:r>
      <w:hyperlink r:id="rId20" w:history="1">
        <w:r>
          <w:rPr>
            <w:color w:val="0000FF"/>
            <w:sz w:val="24"/>
            <w:szCs w:val="24"/>
          </w:rPr>
          <w:t>главы 22</w:t>
        </w:r>
      </w:hyperlink>
      <w:r>
        <w:rPr>
          <w:color w:val="000000"/>
          <w:sz w:val="24"/>
          <w:szCs w:val="24"/>
        </w:rPr>
        <w:t xml:space="preserve"> ГПК. В определении о назначении экспертизы основными для выяснения психического состояния лица являются вопросы: 1) страдает ли лицо душевной болезнью или слабоумием; 2) может ли оно вследствие психического расстройства понимать значение своих действий или руководить ими.</w:t>
      </w:r>
    </w:p>
    <w:p w:rsidR="00A20FD7" w:rsidRDefault="00A20FD7">
      <w:pPr>
        <w:widowControl w:val="0"/>
        <w:autoSpaceDE w:val="0"/>
        <w:autoSpaceDN w:val="0"/>
        <w:adjustRightInd w:val="0"/>
        <w:ind w:firstLine="570"/>
        <w:rPr>
          <w:color w:val="000000"/>
          <w:sz w:val="24"/>
          <w:szCs w:val="24"/>
        </w:rPr>
      </w:pPr>
      <w:r>
        <w:rPr>
          <w:color w:val="000000"/>
          <w:sz w:val="24"/>
          <w:szCs w:val="24"/>
        </w:rPr>
        <w:t>Решение о проведении амбулаторной или заочной судебно-психиатрической экспертизы по конкретному делу принимается экспертами, поэтому при вынесении определения о назначении экспертизы суд не должен входить в обсуждение данного вопроса.</w:t>
      </w:r>
    </w:p>
    <w:p w:rsidR="00A20FD7" w:rsidRDefault="00A20FD7">
      <w:pPr>
        <w:widowControl w:val="0"/>
        <w:autoSpaceDE w:val="0"/>
        <w:autoSpaceDN w:val="0"/>
        <w:adjustRightInd w:val="0"/>
        <w:ind w:firstLine="570"/>
        <w:rPr>
          <w:color w:val="000000"/>
          <w:sz w:val="24"/>
          <w:szCs w:val="24"/>
        </w:rPr>
      </w:pPr>
      <w:r>
        <w:rPr>
          <w:color w:val="000000"/>
          <w:sz w:val="24"/>
          <w:szCs w:val="24"/>
        </w:rPr>
        <w:t>В случае явного уклонения лица, в отношении которого возбуждено дело о признании недееспособным, от прохождения экспертизы суд в судебном заседании при участии прокурора и психиатра выносит определение о принудительном направлении гражданина на судебно-психиатрическую экспертизу (</w:t>
      </w:r>
      <w:hyperlink r:id="rId21" w:history="1">
        <w:r>
          <w:rPr>
            <w:color w:val="0000FF"/>
            <w:sz w:val="24"/>
            <w:szCs w:val="24"/>
          </w:rPr>
          <w:t>ст. 374</w:t>
        </w:r>
      </w:hyperlink>
      <w:r>
        <w:rPr>
          <w:color w:val="000000"/>
          <w:sz w:val="24"/>
          <w:szCs w:val="24"/>
        </w:rPr>
        <w:t xml:space="preserve"> ГПК). Исполнение такого определения суд поручает в соответствии с ч. 4 </w:t>
      </w:r>
      <w:hyperlink r:id="rId22" w:history="1">
        <w:r>
          <w:rPr>
            <w:color w:val="A5A4FF"/>
            <w:sz w:val="24"/>
            <w:szCs w:val="24"/>
          </w:rPr>
          <w:t>ст. 31</w:t>
        </w:r>
      </w:hyperlink>
      <w:r>
        <w:rPr>
          <w:color w:val="000000"/>
          <w:sz w:val="24"/>
          <w:szCs w:val="24"/>
        </w:rPr>
        <w:t xml:space="preserve"> Закона Республики Беларусь от 1 июля 1999 г. «О психиатрической помощи и гарантиях прав граждан при ее оказании» соответствующему органу внутренних дел.</w:t>
      </w:r>
    </w:p>
    <w:p w:rsidR="00A20FD7" w:rsidRDefault="00A20FD7">
      <w:pPr>
        <w:widowControl w:val="0"/>
        <w:autoSpaceDE w:val="0"/>
        <w:autoSpaceDN w:val="0"/>
        <w:adjustRightInd w:val="0"/>
        <w:ind w:firstLine="570"/>
        <w:rPr>
          <w:color w:val="000000"/>
          <w:sz w:val="24"/>
          <w:szCs w:val="24"/>
        </w:rPr>
      </w:pPr>
      <w:bookmarkStart w:id="10" w:name="CA0|П~11~11CN~|point=0"/>
      <w:bookmarkEnd w:id="10"/>
      <w:r>
        <w:rPr>
          <w:color w:val="000000"/>
          <w:sz w:val="24"/>
          <w:szCs w:val="24"/>
        </w:rPr>
        <w:t xml:space="preserve">11. Судам надлежит иметь в виду, что в силу </w:t>
      </w:r>
      <w:hyperlink r:id="rId23" w:history="1">
        <w:r>
          <w:rPr>
            <w:color w:val="0000FF"/>
            <w:sz w:val="24"/>
            <w:szCs w:val="24"/>
          </w:rPr>
          <w:t>ст. 375</w:t>
        </w:r>
      </w:hyperlink>
      <w:r>
        <w:rPr>
          <w:color w:val="000000"/>
          <w:sz w:val="24"/>
          <w:szCs w:val="24"/>
        </w:rPr>
        <w:t xml:space="preserve"> ГПК дело о признании гражданина ограниченно дееспособным или недееспособным рассматривается с обязательным участием прокурора и представителя органа опеки и попечительства. При этом представитель органа опеки и попечительства дает заключение по делу (</w:t>
      </w:r>
      <w:hyperlink r:id="rId24" w:history="1">
        <w:r>
          <w:rPr>
            <w:color w:val="0000FF"/>
            <w:sz w:val="24"/>
            <w:szCs w:val="24"/>
          </w:rPr>
          <w:t>ст. 90</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r>
        <w:rPr>
          <w:color w:val="000000"/>
          <w:sz w:val="24"/>
          <w:szCs w:val="24"/>
        </w:rPr>
        <w:t>Гражданин, в отношении которого ставится вопрос об ограничении в дееспособности, а равно гражданин, в отношении которого ставится вопрос о признании недееспособным (если он участвует в рассмотрении дела), привлекаются к участию в деле в качестве заинтересованных лиц. При этом участие в рассмотрении дела гражданина, в отношении которого ставится вопрос об ограничении в дееспособности, является обязательным.</w:t>
      </w:r>
    </w:p>
    <w:p w:rsidR="00A20FD7" w:rsidRDefault="00A20FD7">
      <w:pPr>
        <w:widowControl w:val="0"/>
        <w:autoSpaceDE w:val="0"/>
        <w:autoSpaceDN w:val="0"/>
        <w:adjustRightInd w:val="0"/>
        <w:ind w:firstLine="570"/>
        <w:rPr>
          <w:color w:val="000000"/>
          <w:sz w:val="24"/>
          <w:szCs w:val="24"/>
        </w:rPr>
      </w:pPr>
      <w:r>
        <w:rPr>
          <w:color w:val="000000"/>
          <w:sz w:val="24"/>
          <w:szCs w:val="24"/>
        </w:rPr>
        <w:t>Если дело было начато по заявлению прокурора, органа опеки и попечительства, общественного объединения, уставом которого предоставлено право на подачу заявления о признании гражданина ограниченно дееспособным, или психиатрического лечебного учреждения (о признании гражданина недееспособным), в качестве заявителей в деле должны принимать участие члены семьи или близкие родственники гражданина.</w:t>
      </w:r>
    </w:p>
    <w:p w:rsidR="00A20FD7" w:rsidRDefault="00A20FD7">
      <w:pPr>
        <w:widowControl w:val="0"/>
        <w:autoSpaceDE w:val="0"/>
        <w:autoSpaceDN w:val="0"/>
        <w:adjustRightInd w:val="0"/>
        <w:ind w:firstLine="570"/>
        <w:rPr>
          <w:color w:val="000000"/>
          <w:sz w:val="24"/>
          <w:szCs w:val="24"/>
        </w:rPr>
      </w:pPr>
      <w:bookmarkStart w:id="11" w:name="CA0|П~12~12CN~|point=0"/>
      <w:bookmarkEnd w:id="11"/>
      <w:r>
        <w:rPr>
          <w:color w:val="000000"/>
          <w:sz w:val="24"/>
          <w:szCs w:val="24"/>
        </w:rPr>
        <w:t xml:space="preserve">12. Обратить внимание судов, что исходя из положений ч. 3 </w:t>
      </w:r>
      <w:hyperlink r:id="rId25" w:history="1">
        <w:r>
          <w:rPr>
            <w:color w:val="0000FF"/>
            <w:sz w:val="24"/>
            <w:szCs w:val="24"/>
          </w:rPr>
          <w:t>ст. 375</w:t>
        </w:r>
      </w:hyperlink>
      <w:r>
        <w:rPr>
          <w:color w:val="000000"/>
          <w:sz w:val="24"/>
          <w:szCs w:val="24"/>
        </w:rPr>
        <w:t xml:space="preserve"> ГПК решение суда о признании гражданина ограниченно дееспособным или недееспособным должно быть мотивированным.</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В резолютивной части решения излагается вывод суда о признании лица ограниченно дееспособным или недееспособным, либо об оставлении заявленных требований без удовлетворения. В случае признания гражданина ограниченно дееспособным вследствие злоупотребления спиртными напитками, наркотическими средствами либо психотропными веществами суду следует указать на объем ограничений в точном соответствии с ч.ч. 2 и 3 п. 1 </w:t>
      </w:r>
      <w:hyperlink r:id="rId26" w:history="1">
        <w:r>
          <w:rPr>
            <w:color w:val="0000FF"/>
            <w:sz w:val="24"/>
            <w:szCs w:val="24"/>
          </w:rPr>
          <w:t>ст. 30</w:t>
        </w:r>
      </w:hyperlink>
      <w:r>
        <w:rPr>
          <w:color w:val="000000"/>
          <w:sz w:val="24"/>
          <w:szCs w:val="24"/>
        </w:rPr>
        <w:t xml:space="preserve"> ГК.</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Суд не вправе указывать в решении на установление над гражданином, признанным недееспособным или ограниченно дееспособным, опекунства или попечительства, поскольку </w:t>
      </w:r>
      <w:r>
        <w:rPr>
          <w:color w:val="000000"/>
          <w:sz w:val="24"/>
          <w:szCs w:val="24"/>
        </w:rPr>
        <w:lastRenderedPageBreak/>
        <w:t xml:space="preserve">решение таких вопросов относится к компетенции органов опеки и попечительства. Для назначения опекуна или попечителя суд обязан в течение трех дней со дня вступления решения в законную силу выслать его копию органу опеки и попечительства по месту жительства лица, признанного ограниченно дееспособным или недееспособным (ч. 5 </w:t>
      </w:r>
      <w:hyperlink r:id="rId27" w:history="1">
        <w:r>
          <w:rPr>
            <w:color w:val="0000FF"/>
            <w:sz w:val="24"/>
            <w:szCs w:val="24"/>
          </w:rPr>
          <w:t>ст. 375</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bookmarkStart w:id="12" w:name="CA0|П~13~13CN~|point=0"/>
      <w:bookmarkEnd w:id="12"/>
      <w:r>
        <w:rPr>
          <w:color w:val="000000"/>
          <w:sz w:val="24"/>
          <w:szCs w:val="24"/>
        </w:rPr>
        <w:t>13. Решение об отмене ограничения дееспособности или о признании гражданина дееспособным суд принимает, если основания, в силу которых гражданин был признан недееспособным или ограничен в дееспособности, отпали.</w:t>
      </w:r>
    </w:p>
    <w:p w:rsidR="00A20FD7" w:rsidRDefault="00A20FD7">
      <w:pPr>
        <w:widowControl w:val="0"/>
        <w:autoSpaceDE w:val="0"/>
        <w:autoSpaceDN w:val="0"/>
        <w:adjustRightInd w:val="0"/>
        <w:ind w:firstLine="570"/>
        <w:rPr>
          <w:color w:val="000000"/>
          <w:sz w:val="24"/>
          <w:szCs w:val="24"/>
        </w:rPr>
      </w:pPr>
      <w:r>
        <w:rPr>
          <w:color w:val="000000"/>
          <w:sz w:val="24"/>
          <w:szCs w:val="24"/>
        </w:rPr>
        <w:t>Ограничение дееспособности отменяется судом также и в случаях, когда семья лица, признанного ограниченно дееспособным, перестала существовать (например, в связи со смертью, разделением семьи) и, следовательно, отпала обязанность этого лица предоставлять средства на ее содержание.</w:t>
      </w:r>
    </w:p>
    <w:p w:rsidR="00A20FD7" w:rsidRDefault="00A20FD7">
      <w:pPr>
        <w:widowControl w:val="0"/>
        <w:autoSpaceDE w:val="0"/>
        <w:autoSpaceDN w:val="0"/>
        <w:adjustRightInd w:val="0"/>
        <w:ind w:firstLine="570"/>
        <w:rPr>
          <w:color w:val="000000"/>
          <w:sz w:val="24"/>
          <w:szCs w:val="24"/>
        </w:rPr>
      </w:pPr>
      <w:r>
        <w:rPr>
          <w:color w:val="000000"/>
          <w:sz w:val="24"/>
          <w:szCs w:val="24"/>
        </w:rPr>
        <w:t>Суд выясняет эти обстоятельства на основании представленных доказательств: справки медицинского учреждения о прохождении лечения от алкоголизма или наркомании, характеристики с места жительства (работы), свидетельских показаний и т.п.</w:t>
      </w:r>
    </w:p>
    <w:p w:rsidR="00A20FD7" w:rsidRDefault="00A20FD7">
      <w:pPr>
        <w:widowControl w:val="0"/>
        <w:autoSpaceDE w:val="0"/>
        <w:autoSpaceDN w:val="0"/>
        <w:adjustRightInd w:val="0"/>
        <w:ind w:firstLine="570"/>
        <w:rPr>
          <w:color w:val="000000"/>
          <w:sz w:val="24"/>
          <w:szCs w:val="24"/>
        </w:rPr>
      </w:pPr>
      <w:bookmarkStart w:id="13" w:name="CA0|П~14~14CN~|point=0"/>
      <w:bookmarkEnd w:id="13"/>
      <w:r>
        <w:rPr>
          <w:color w:val="000000"/>
          <w:sz w:val="24"/>
          <w:szCs w:val="24"/>
        </w:rPr>
        <w:t xml:space="preserve">14. Дела о признании гражданина дееспособным либо об отмене ограничения дееспособности рассматриваются судом в порядке, предусмотренном </w:t>
      </w:r>
      <w:hyperlink r:id="rId28" w:history="1">
        <w:r>
          <w:rPr>
            <w:color w:val="0000FF"/>
            <w:sz w:val="24"/>
            <w:szCs w:val="24"/>
          </w:rPr>
          <w:t>ст. 376</w:t>
        </w:r>
      </w:hyperlink>
      <w:r>
        <w:rPr>
          <w:color w:val="000000"/>
          <w:sz w:val="24"/>
          <w:szCs w:val="24"/>
        </w:rPr>
        <w:t xml:space="preserve"> ГПК, по месту жительства данного гражданина независимо от того, каким судом вынесено решение об ограничении дееспособности или о признании гражданина недееспособным.</w:t>
      </w:r>
    </w:p>
    <w:p w:rsidR="00A20FD7" w:rsidRDefault="00A20FD7">
      <w:pPr>
        <w:widowControl w:val="0"/>
        <w:autoSpaceDE w:val="0"/>
        <w:autoSpaceDN w:val="0"/>
        <w:adjustRightInd w:val="0"/>
        <w:ind w:firstLine="570"/>
        <w:rPr>
          <w:color w:val="000000"/>
          <w:sz w:val="24"/>
          <w:szCs w:val="24"/>
        </w:rPr>
      </w:pPr>
      <w:bookmarkStart w:id="14" w:name="CA0|П~15~15CN~|point=0"/>
      <w:bookmarkEnd w:id="14"/>
      <w:r>
        <w:rPr>
          <w:color w:val="000000"/>
          <w:sz w:val="24"/>
          <w:szCs w:val="24"/>
        </w:rPr>
        <w:t xml:space="preserve">15. Судам надлежит иметь в виду, что судебные расходы (госпошлина и издержки, связанные с рассмотрением дела) по делам о признании гражданина ограниченно дееспособным или недееспособным с заявителя взысканию не подлежат, за исключением случаев, когда заявители действовали не добросовестно, с целью заведомо необоснованного ограничения или лишения дееспособности гражданина (ч. 4 </w:t>
      </w:r>
      <w:hyperlink r:id="rId29" w:history="1">
        <w:r>
          <w:rPr>
            <w:color w:val="0000FF"/>
            <w:sz w:val="24"/>
            <w:szCs w:val="24"/>
          </w:rPr>
          <w:t>ст. 375</w:t>
        </w:r>
      </w:hyperlink>
      <w:r>
        <w:rPr>
          <w:color w:val="000000"/>
          <w:sz w:val="24"/>
          <w:szCs w:val="24"/>
        </w:rPr>
        <w:t xml:space="preserve"> ГПК). Не может возлагаться обязанность по несению судебных расходов и на заинтересованных лиц.</w:t>
      </w:r>
    </w:p>
    <w:p w:rsidR="00A20FD7" w:rsidRDefault="00A20FD7">
      <w:pPr>
        <w:widowControl w:val="0"/>
        <w:autoSpaceDE w:val="0"/>
        <w:autoSpaceDN w:val="0"/>
        <w:adjustRightInd w:val="0"/>
        <w:ind w:firstLine="570"/>
        <w:rPr>
          <w:color w:val="000000"/>
          <w:sz w:val="24"/>
          <w:szCs w:val="24"/>
        </w:rPr>
      </w:pPr>
      <w:bookmarkStart w:id="15" w:name="CA0|П~16~16CN~|point=0"/>
      <w:bookmarkEnd w:id="15"/>
      <w:r>
        <w:rPr>
          <w:color w:val="000000"/>
          <w:sz w:val="24"/>
          <w:szCs w:val="24"/>
        </w:rPr>
        <w:t>16. В процессе рассмотрения каждого дела судам следует выяснять причины, способствующие пьянству, алкоголизму, потреблению наркотических средств или психотропных веществ, и принимать меры по их устранению, в частности, доводить о них до сведения соответствующих органов путем вынесения частных определений и контролировать их исполнение (</w:t>
      </w:r>
      <w:hyperlink r:id="rId30" w:history="1">
        <w:r>
          <w:rPr>
            <w:color w:val="0000FF"/>
            <w:sz w:val="24"/>
            <w:szCs w:val="24"/>
          </w:rPr>
          <w:t>ст. 325</w:t>
        </w:r>
      </w:hyperlink>
      <w:r>
        <w:rPr>
          <w:color w:val="000000"/>
          <w:sz w:val="24"/>
          <w:szCs w:val="24"/>
        </w:rPr>
        <w:t xml:space="preserve"> ГПК).</w:t>
      </w:r>
    </w:p>
    <w:p w:rsidR="00A20FD7" w:rsidRDefault="00A20FD7">
      <w:pPr>
        <w:widowControl w:val="0"/>
        <w:autoSpaceDE w:val="0"/>
        <w:autoSpaceDN w:val="0"/>
        <w:adjustRightInd w:val="0"/>
        <w:ind w:firstLine="570"/>
        <w:rPr>
          <w:color w:val="000000"/>
          <w:sz w:val="24"/>
          <w:szCs w:val="24"/>
        </w:rPr>
      </w:pPr>
      <w:bookmarkStart w:id="16" w:name="CA0|П~17~17CN~|point=0"/>
      <w:bookmarkEnd w:id="16"/>
      <w:r>
        <w:rPr>
          <w:color w:val="000000"/>
          <w:sz w:val="24"/>
          <w:szCs w:val="24"/>
        </w:rPr>
        <w:t xml:space="preserve">17. Признать утратившим силу </w:t>
      </w:r>
      <w:hyperlink r:id="rId31" w:history="1">
        <w:r>
          <w:rPr>
            <w:color w:val="A5A4FF"/>
            <w:sz w:val="24"/>
            <w:szCs w:val="24"/>
          </w:rPr>
          <w:t>постановление Пленума Верховного Суда Республики Беларусь от 15 марта 1978 г. № 4</w:t>
        </w:r>
      </w:hyperlink>
      <w:r>
        <w:rPr>
          <w:color w:val="000000"/>
          <w:sz w:val="24"/>
          <w:szCs w:val="24"/>
        </w:rPr>
        <w:t xml:space="preserve"> «О судебной практике по делам об ограничении дееспособности граждан, злоупотребляющих спиртными напитками или наркотическими средствами» (с изменениями и дополнениями от 15 октября 1986 г., 2 декабря 1987 г. и 23 сентября 1999 г.) (Национальный реестр правовых актов Республики Беларусь, 1999 г., № 78, 6/56).</w:t>
      </w:r>
    </w:p>
    <w:p w:rsidR="00A20FD7" w:rsidRDefault="00A20FD7">
      <w:pPr>
        <w:widowControl w:val="0"/>
        <w:autoSpaceDE w:val="0"/>
        <w:autoSpaceDN w:val="0"/>
        <w:adjustRightInd w:val="0"/>
        <w:ind w:firstLine="570"/>
        <w:rPr>
          <w:color w:val="000000"/>
          <w:sz w:val="24"/>
          <w:szCs w:val="24"/>
        </w:rPr>
      </w:pPr>
      <w:r>
        <w:rPr>
          <w:color w:val="000000"/>
          <w:sz w:val="24"/>
          <w:szCs w:val="24"/>
        </w:rPr>
        <w:t xml:space="preserve"> </w:t>
      </w:r>
    </w:p>
    <w:tbl>
      <w:tblPr>
        <w:tblW w:w="5000" w:type="pct"/>
        <w:tblInd w:w="-15" w:type="dxa"/>
        <w:tblLayout w:type="fixed"/>
        <w:tblCellMar>
          <w:left w:w="0" w:type="dxa"/>
          <w:right w:w="0" w:type="dxa"/>
        </w:tblCellMar>
        <w:tblLook w:val="0000"/>
      </w:tblPr>
      <w:tblGrid>
        <w:gridCol w:w="4819"/>
        <w:gridCol w:w="4819"/>
      </w:tblGrid>
      <w:tr w:rsidR="00A20FD7">
        <w:tc>
          <w:tcPr>
            <w:tcW w:w="2500" w:type="pct"/>
            <w:tcBorders>
              <w:top w:val="nil"/>
              <w:left w:val="nil"/>
              <w:bottom w:val="nil"/>
              <w:right w:val="nil"/>
            </w:tcBorders>
            <w:vAlign w:val="bottom"/>
          </w:tcPr>
          <w:p w:rsidR="00A20FD7" w:rsidRDefault="00A20FD7">
            <w:pPr>
              <w:widowControl w:val="0"/>
              <w:autoSpaceDE w:val="0"/>
              <w:autoSpaceDN w:val="0"/>
              <w:adjustRightInd w:val="0"/>
              <w:rPr>
                <w:b/>
                <w:color w:val="000000"/>
                <w:sz w:val="24"/>
                <w:szCs w:val="24"/>
              </w:rPr>
            </w:pPr>
            <w:r>
              <w:rPr>
                <w:b/>
                <w:color w:val="000000"/>
                <w:sz w:val="24"/>
                <w:szCs w:val="24"/>
              </w:rPr>
              <w:t xml:space="preserve">Председатель </w:t>
            </w:r>
            <w:r>
              <w:rPr>
                <w:b/>
                <w:color w:val="000000"/>
                <w:sz w:val="24"/>
                <w:szCs w:val="24"/>
              </w:rPr>
              <w:br/>
              <w:t xml:space="preserve">Верховного Суда </w:t>
            </w:r>
            <w:r>
              <w:rPr>
                <w:b/>
                <w:color w:val="000000"/>
                <w:sz w:val="24"/>
                <w:szCs w:val="24"/>
              </w:rPr>
              <w:br/>
              <w:t>Республики Беларусь</w:t>
            </w:r>
          </w:p>
        </w:tc>
        <w:tc>
          <w:tcPr>
            <w:tcW w:w="2500" w:type="pct"/>
            <w:tcBorders>
              <w:top w:val="nil"/>
              <w:left w:val="nil"/>
              <w:bottom w:val="nil"/>
              <w:right w:val="nil"/>
            </w:tcBorders>
            <w:vAlign w:val="bottom"/>
          </w:tcPr>
          <w:p w:rsidR="00A20FD7" w:rsidRDefault="00A20FD7">
            <w:pPr>
              <w:widowControl w:val="0"/>
              <w:autoSpaceDE w:val="0"/>
              <w:autoSpaceDN w:val="0"/>
              <w:adjustRightInd w:val="0"/>
              <w:jc w:val="right"/>
              <w:rPr>
                <w:b/>
                <w:color w:val="000000"/>
                <w:sz w:val="24"/>
                <w:szCs w:val="24"/>
              </w:rPr>
            </w:pPr>
            <w:r>
              <w:rPr>
                <w:b/>
                <w:color w:val="000000"/>
                <w:sz w:val="24"/>
                <w:szCs w:val="24"/>
              </w:rPr>
              <w:t>В.О.Сукало</w:t>
            </w:r>
          </w:p>
        </w:tc>
      </w:tr>
      <w:tr w:rsidR="00A20FD7">
        <w:tc>
          <w:tcPr>
            <w:tcW w:w="2500" w:type="pct"/>
            <w:tcBorders>
              <w:top w:val="nil"/>
              <w:left w:val="nil"/>
              <w:bottom w:val="nil"/>
              <w:right w:val="nil"/>
            </w:tcBorders>
            <w:vAlign w:val="bottom"/>
          </w:tcPr>
          <w:p w:rsidR="00A20FD7" w:rsidRDefault="00A20FD7">
            <w:pPr>
              <w:widowControl w:val="0"/>
              <w:autoSpaceDE w:val="0"/>
              <w:autoSpaceDN w:val="0"/>
              <w:adjustRightInd w:val="0"/>
              <w:rPr>
                <w:color w:val="000000"/>
                <w:sz w:val="24"/>
                <w:szCs w:val="24"/>
              </w:rPr>
            </w:pPr>
            <w:r>
              <w:rPr>
                <w:color w:val="000000"/>
                <w:sz w:val="24"/>
                <w:szCs w:val="24"/>
              </w:rPr>
              <w:t xml:space="preserve"> </w:t>
            </w:r>
          </w:p>
        </w:tc>
        <w:tc>
          <w:tcPr>
            <w:tcW w:w="2500" w:type="pct"/>
            <w:tcBorders>
              <w:top w:val="nil"/>
              <w:left w:val="nil"/>
              <w:bottom w:val="nil"/>
              <w:right w:val="nil"/>
            </w:tcBorders>
            <w:vAlign w:val="bottom"/>
          </w:tcPr>
          <w:p w:rsidR="00A20FD7" w:rsidRDefault="00A20FD7">
            <w:pPr>
              <w:widowControl w:val="0"/>
              <w:autoSpaceDE w:val="0"/>
              <w:autoSpaceDN w:val="0"/>
              <w:adjustRightInd w:val="0"/>
              <w:jc w:val="right"/>
              <w:rPr>
                <w:color w:val="000000"/>
                <w:sz w:val="24"/>
                <w:szCs w:val="24"/>
              </w:rPr>
            </w:pPr>
            <w:r>
              <w:rPr>
                <w:color w:val="000000"/>
                <w:sz w:val="24"/>
                <w:szCs w:val="24"/>
              </w:rPr>
              <w:t xml:space="preserve"> </w:t>
            </w:r>
          </w:p>
        </w:tc>
      </w:tr>
      <w:tr w:rsidR="00A20FD7">
        <w:tc>
          <w:tcPr>
            <w:tcW w:w="2500" w:type="pct"/>
            <w:tcBorders>
              <w:top w:val="nil"/>
              <w:left w:val="nil"/>
              <w:bottom w:val="nil"/>
              <w:right w:val="nil"/>
            </w:tcBorders>
            <w:vAlign w:val="bottom"/>
          </w:tcPr>
          <w:p w:rsidR="00A20FD7" w:rsidRDefault="00A20FD7">
            <w:pPr>
              <w:widowControl w:val="0"/>
              <w:autoSpaceDE w:val="0"/>
              <w:autoSpaceDN w:val="0"/>
              <w:adjustRightInd w:val="0"/>
              <w:rPr>
                <w:b/>
                <w:color w:val="000000"/>
                <w:sz w:val="24"/>
                <w:szCs w:val="24"/>
              </w:rPr>
            </w:pPr>
            <w:r>
              <w:rPr>
                <w:b/>
                <w:color w:val="000000"/>
                <w:sz w:val="24"/>
                <w:szCs w:val="24"/>
              </w:rPr>
              <w:t xml:space="preserve">Секретарь Пленума, судья </w:t>
            </w:r>
            <w:r>
              <w:rPr>
                <w:b/>
                <w:color w:val="000000"/>
                <w:sz w:val="24"/>
                <w:szCs w:val="24"/>
              </w:rPr>
              <w:br/>
              <w:t xml:space="preserve">Верховного Суда </w:t>
            </w:r>
            <w:r>
              <w:rPr>
                <w:b/>
                <w:color w:val="000000"/>
                <w:sz w:val="24"/>
                <w:szCs w:val="24"/>
              </w:rPr>
              <w:br/>
              <w:t>Республики Беларусь</w:t>
            </w:r>
          </w:p>
        </w:tc>
        <w:tc>
          <w:tcPr>
            <w:tcW w:w="2500" w:type="pct"/>
            <w:tcBorders>
              <w:top w:val="nil"/>
              <w:left w:val="nil"/>
              <w:bottom w:val="nil"/>
              <w:right w:val="nil"/>
            </w:tcBorders>
            <w:vAlign w:val="bottom"/>
          </w:tcPr>
          <w:p w:rsidR="00A20FD7" w:rsidRDefault="00A20FD7">
            <w:pPr>
              <w:widowControl w:val="0"/>
              <w:autoSpaceDE w:val="0"/>
              <w:autoSpaceDN w:val="0"/>
              <w:adjustRightInd w:val="0"/>
              <w:jc w:val="right"/>
              <w:rPr>
                <w:b/>
                <w:color w:val="000000"/>
                <w:sz w:val="24"/>
                <w:szCs w:val="24"/>
              </w:rPr>
            </w:pPr>
            <w:r>
              <w:rPr>
                <w:b/>
                <w:color w:val="000000"/>
                <w:sz w:val="24"/>
                <w:szCs w:val="24"/>
              </w:rPr>
              <w:t>И.Н.Минец</w:t>
            </w:r>
          </w:p>
        </w:tc>
      </w:tr>
    </w:tbl>
    <w:p w:rsidR="00A20FD7" w:rsidRDefault="00A20FD7">
      <w:pPr>
        <w:widowControl w:val="0"/>
        <w:autoSpaceDE w:val="0"/>
        <w:autoSpaceDN w:val="0"/>
        <w:adjustRightInd w:val="0"/>
        <w:rPr>
          <w:color w:val="000000"/>
          <w:sz w:val="24"/>
          <w:szCs w:val="24"/>
        </w:rPr>
      </w:pPr>
      <w:r>
        <w:rPr>
          <w:color w:val="000000"/>
          <w:sz w:val="24"/>
          <w:szCs w:val="24"/>
        </w:rPr>
        <w:t xml:space="preserve"> </w:t>
      </w:r>
    </w:p>
    <w:p w:rsidR="002A20CA" w:rsidRPr="00A20FD7" w:rsidRDefault="002A20CA" w:rsidP="00A20FD7"/>
    <w:sectPr w:rsidR="002A20CA" w:rsidRPr="00A20FD7" w:rsidSect="00724E5B">
      <w:headerReference w:type="default" r:id="rId32"/>
      <w:footerReference w:type="default" r:id="rId33"/>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3626D" w:rsidRDefault="0083626D" w:rsidP="00A20FD7">
      <w:r>
        <w:separator/>
      </w:r>
    </w:p>
  </w:endnote>
  <w:endnote w:type="continuationSeparator" w:id="1">
    <w:p w:rsidR="0083626D" w:rsidRDefault="0083626D" w:rsidP="00A20F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E3A2F" w:rsidRPr="00C52F8F" w:rsidRDefault="0083626D" w:rsidP="0050153E">
    <w:pPr>
      <w:autoSpaceDE w:val="0"/>
      <w:autoSpaceDN w:val="0"/>
      <w:adjustRightInd w:val="0"/>
      <w:rPr>
        <w:bCs/>
        <w:color w:val="000000"/>
        <w:sz w:val="20"/>
        <w:szCs w:val="20"/>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3626D" w:rsidRDefault="0083626D" w:rsidP="00A20FD7">
      <w:r>
        <w:separator/>
      </w:r>
    </w:p>
  </w:footnote>
  <w:footnote w:type="continuationSeparator" w:id="1">
    <w:p w:rsidR="0083626D" w:rsidRDefault="0083626D" w:rsidP="00A20F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221B" w:rsidRDefault="0083626D" w:rsidP="00D66DF3">
    <w:pPr>
      <w:autoSpaceDE w:val="0"/>
      <w:autoSpaceDN w:val="0"/>
      <w:adjustRightInd w:val="0"/>
      <w:rPr>
        <w:sz w:val="14"/>
        <w:szCs w:val="14"/>
        <w:lang w:val="en-US"/>
      </w:rPr>
    </w:pPr>
  </w:p>
  <w:p w:rsidR="009E3A2F" w:rsidRDefault="0083626D" w:rsidP="00D66DF3">
    <w:pPr>
      <w:autoSpaceDE w:val="0"/>
      <w:autoSpaceDN w:val="0"/>
      <w:adjustRightInd w:val="0"/>
      <w:rPr>
        <w:sz w:val="14"/>
        <w:szCs w:val="14"/>
        <w:lang w:val="en-US"/>
      </w:rPr>
    </w:pPr>
  </w:p>
  <w:p w:rsidR="00B84B94" w:rsidRPr="001E221B" w:rsidRDefault="0083626D" w:rsidP="00D66DF3">
    <w:pPr>
      <w:autoSpaceDE w:val="0"/>
      <w:autoSpaceDN w:val="0"/>
      <w:adjustRightInd w:val="0"/>
      <w:rPr>
        <w:sz w:val="14"/>
        <w:szCs w:val="14"/>
        <w:lang w:val="en-US"/>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A20FD7"/>
    <w:rsid w:val="000E5050"/>
    <w:rsid w:val="002A20CA"/>
    <w:rsid w:val="00300687"/>
    <w:rsid w:val="004D691F"/>
    <w:rsid w:val="00681CD9"/>
    <w:rsid w:val="00691AAB"/>
    <w:rsid w:val="0083626D"/>
    <w:rsid w:val="009A46D2"/>
    <w:rsid w:val="00A20FD7"/>
    <w:rsid w:val="00DF6CDE"/>
    <w:rsid w:val="00FB7D8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20C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A20FD7"/>
    <w:pPr>
      <w:tabs>
        <w:tab w:val="center" w:pos="4677"/>
        <w:tab w:val="right" w:pos="9355"/>
      </w:tabs>
    </w:pPr>
  </w:style>
  <w:style w:type="character" w:customStyle="1" w:styleId="a4">
    <w:name w:val="Верхний колонтитул Знак"/>
    <w:basedOn w:val="a0"/>
    <w:link w:val="a3"/>
    <w:uiPriority w:val="99"/>
    <w:semiHidden/>
    <w:rsid w:val="00A20FD7"/>
  </w:style>
  <w:style w:type="paragraph" w:styleId="a5">
    <w:name w:val="footer"/>
    <w:basedOn w:val="a"/>
    <w:link w:val="a6"/>
    <w:uiPriority w:val="99"/>
    <w:semiHidden/>
    <w:unhideWhenUsed/>
    <w:rsid w:val="00A20FD7"/>
    <w:pPr>
      <w:tabs>
        <w:tab w:val="center" w:pos="4677"/>
        <w:tab w:val="right" w:pos="9355"/>
      </w:tabs>
    </w:pPr>
  </w:style>
  <w:style w:type="character" w:customStyle="1" w:styleId="a6">
    <w:name w:val="Нижний колонтитул Знак"/>
    <w:basedOn w:val="a0"/>
    <w:link w:val="a5"/>
    <w:uiPriority w:val="99"/>
    <w:semiHidden/>
    <w:rsid w:val="00A20FD7"/>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NCPI#G#hk9900238#&amp;Article=373" TargetMode="External"/><Relationship Id="rId13" Type="http://schemas.openxmlformats.org/officeDocument/2006/relationships/hyperlink" Target="NCPI#G#hk9900238#&amp;Article=373" TargetMode="External"/><Relationship Id="rId18" Type="http://schemas.openxmlformats.org/officeDocument/2006/relationships/hyperlink" Target="NCPI#G#hk9900238#&amp;Article=373" TargetMode="External"/><Relationship Id="rId26" Type="http://schemas.openxmlformats.org/officeDocument/2006/relationships/hyperlink" Target="NCPI#G#hk9800218#&amp;Article=30" TargetMode="External"/><Relationship Id="rId3" Type="http://schemas.openxmlformats.org/officeDocument/2006/relationships/webSettings" Target="webSettings.xml"/><Relationship Id="rId21" Type="http://schemas.openxmlformats.org/officeDocument/2006/relationships/hyperlink" Target="NCPI#G#hk9900238#&amp;Article=374" TargetMode="External"/><Relationship Id="rId34" Type="http://schemas.openxmlformats.org/officeDocument/2006/relationships/fontTable" Target="fontTable.xml"/><Relationship Id="rId7" Type="http://schemas.openxmlformats.org/officeDocument/2006/relationships/hyperlink" Target="NCPI#G#hk9900238#&amp;Article=362" TargetMode="External"/><Relationship Id="rId12" Type="http://schemas.openxmlformats.org/officeDocument/2006/relationships/hyperlink" Target="NCPI#G#hk9900238#&amp;Article=1&amp;Point=9" TargetMode="External"/><Relationship Id="rId17" Type="http://schemas.openxmlformats.org/officeDocument/2006/relationships/hyperlink" Target="NCPI#G#hk9900238#&amp;Article=109" TargetMode="External"/><Relationship Id="rId25" Type="http://schemas.openxmlformats.org/officeDocument/2006/relationships/hyperlink" Target="NCPI#G#hk9900238#&amp;Article=375" TargetMode="External"/><Relationship Id="rId33" Type="http://schemas.openxmlformats.org/officeDocument/2006/relationships/footer" Target="footer1.xml"/><Relationship Id="rId2" Type="http://schemas.openxmlformats.org/officeDocument/2006/relationships/settings" Target="settings.xml"/><Relationship Id="rId16" Type="http://schemas.openxmlformats.org/officeDocument/2006/relationships/hyperlink" Target="NCPI#G#hk9900238#&amp;Article=362" TargetMode="External"/><Relationship Id="rId20" Type="http://schemas.openxmlformats.org/officeDocument/2006/relationships/hyperlink" Target="NCPI#G#hk9900238#&amp;Chapter=22" TargetMode="External"/><Relationship Id="rId29" Type="http://schemas.openxmlformats.org/officeDocument/2006/relationships/hyperlink" Target="NCPI#G#hk9900238#&amp;Article=375" TargetMode="External"/><Relationship Id="rId1" Type="http://schemas.openxmlformats.org/officeDocument/2006/relationships/styles" Target="styles.xml"/><Relationship Id="rId6" Type="http://schemas.openxmlformats.org/officeDocument/2006/relationships/hyperlink" Target="NCPI#G#hk9900238#&amp;Chapter=30" TargetMode="External"/><Relationship Id="rId11" Type="http://schemas.openxmlformats.org/officeDocument/2006/relationships/hyperlink" Target="NCPI#G#hk9900238#&amp;Article=373" TargetMode="External"/><Relationship Id="rId24" Type="http://schemas.openxmlformats.org/officeDocument/2006/relationships/hyperlink" Target="NCPI#G#hk9900238#&amp;Article=90" TargetMode="External"/><Relationship Id="rId32" Type="http://schemas.openxmlformats.org/officeDocument/2006/relationships/header" Target="header1.xml"/><Relationship Id="rId5" Type="http://schemas.openxmlformats.org/officeDocument/2006/relationships/endnotes" Target="endnotes.xml"/><Relationship Id="rId15" Type="http://schemas.openxmlformats.org/officeDocument/2006/relationships/hyperlink" Target="NCPI#G#hk9900238#&amp;Article=373" TargetMode="External"/><Relationship Id="rId23" Type="http://schemas.openxmlformats.org/officeDocument/2006/relationships/hyperlink" Target="NCPI#G#hk9900238#&amp;Article=375" TargetMode="External"/><Relationship Id="rId28" Type="http://schemas.openxmlformats.org/officeDocument/2006/relationships/hyperlink" Target="NCPI#G#hk9900238#&amp;Article=376" TargetMode="External"/><Relationship Id="rId10" Type="http://schemas.openxmlformats.org/officeDocument/2006/relationships/hyperlink" Target="NCPI#G#hk9800218#&amp;Article=29" TargetMode="External"/><Relationship Id="rId19" Type="http://schemas.openxmlformats.org/officeDocument/2006/relationships/hyperlink" Target="NCPI#G#hk9900238#&amp;Article=111" TargetMode="External"/><Relationship Id="rId31" Type="http://schemas.openxmlformats.org/officeDocument/2006/relationships/hyperlink" Target="NCPI#G#S27800004" TargetMode="External"/><Relationship Id="rId4" Type="http://schemas.openxmlformats.org/officeDocument/2006/relationships/footnotes" Target="footnotes.xml"/><Relationship Id="rId9" Type="http://schemas.openxmlformats.org/officeDocument/2006/relationships/hyperlink" Target="NCPI#G#hk9800218#&amp;Article=30" TargetMode="External"/><Relationship Id="rId14" Type="http://schemas.openxmlformats.org/officeDocument/2006/relationships/hyperlink" Target="NCPI#G#hk9900238#&amp;Article=373" TargetMode="External"/><Relationship Id="rId22" Type="http://schemas.openxmlformats.org/officeDocument/2006/relationships/hyperlink" Target="NCPI#G#H19900274#&amp;Article=31" TargetMode="External"/><Relationship Id="rId27" Type="http://schemas.openxmlformats.org/officeDocument/2006/relationships/hyperlink" Target="NCPI#G#hk9900238#&amp;Article=375" TargetMode="External"/><Relationship Id="rId30" Type="http://schemas.openxmlformats.org/officeDocument/2006/relationships/hyperlink" Target="NCPI#G#hk9900238#&amp;Article=325" TargetMode="Externa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2297</Words>
  <Characters>13093</Characters>
  <Application>Microsoft Office Word</Application>
  <DocSecurity>0</DocSecurity>
  <Lines>109</Lines>
  <Paragraphs>30</Paragraphs>
  <ScaleCrop>false</ScaleCrop>
  <Company/>
  <LinksUpToDate>false</LinksUpToDate>
  <CharactersWithSpaces>15360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Karchmit</dc:creator>
  <cp:keywords/>
  <dc:description/>
  <cp:lastModifiedBy>Karchmit</cp:lastModifiedBy>
  <cp:revision>1</cp:revision>
  <dcterms:created xsi:type="dcterms:W3CDTF">2015-08-11T11:22:00Z</dcterms:created>
  <dcterms:modified xsi:type="dcterms:W3CDTF">2015-08-11T11:22:00Z</dcterms:modified>
</cp:coreProperties>
</file>